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E4C85E3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B704BC">
        <w:rPr>
          <w:rFonts w:ascii="Arial" w:hAnsi="Arial" w:cs="Arial"/>
          <w:b/>
          <w:color w:val="008265"/>
          <w:sz w:val="40"/>
          <w:szCs w:val="42"/>
        </w:rPr>
        <w:t>ST PETERS</w:t>
      </w:r>
      <w:r w:rsidR="0011191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B704BC">
        <w:rPr>
          <w:rFonts w:ascii="Arial" w:hAnsi="Arial" w:cs="Arial"/>
          <w:b/>
          <w:color w:val="008265"/>
          <w:sz w:val="40"/>
          <w:szCs w:val="42"/>
        </w:rPr>
        <w:t>P.S. CLAYTON</w:t>
      </w:r>
      <w:bookmarkStart w:id="0" w:name="_GoBack"/>
      <w:bookmarkEnd w:id="0"/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504402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51C4910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7A51119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311E9CD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4.35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5504402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51C4910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7A51119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311E9CD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4.35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64D69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240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2016-11-29T22:36:00Z</dcterms:created>
  <dcterms:modified xsi:type="dcterms:W3CDTF">2016-11-29T22:36:00Z</dcterms:modified>
</cp:coreProperties>
</file>